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CA2A" w14:textId="75D070AF" w:rsidR="002F430D" w:rsidRDefault="00120342" w:rsidP="00120342">
      <w:pPr>
        <w:jc w:val="center"/>
        <w:rPr>
          <w:rFonts w:ascii="黑体" w:eastAsia="黑体" w:hAnsi="黑体" w:cs="Helvetica"/>
          <w:b/>
          <w:bCs/>
          <w:color w:val="333333"/>
          <w:sz w:val="32"/>
          <w:szCs w:val="32"/>
          <w:shd w:val="clear" w:color="auto" w:fill="FFFFFF"/>
        </w:rPr>
      </w:pPr>
      <w:r w:rsidRPr="00120342">
        <w:rPr>
          <w:rFonts w:ascii="黑体" w:eastAsia="黑体" w:hAnsi="黑体" w:cs="Helvetica"/>
          <w:b/>
          <w:bCs/>
          <w:color w:val="333333"/>
          <w:sz w:val="32"/>
          <w:szCs w:val="32"/>
          <w:shd w:val="clear" w:color="auto" w:fill="FFFFFF"/>
        </w:rPr>
        <w:t>教育部重点实验室评估指标体系</w:t>
      </w:r>
    </w:p>
    <w:p w14:paraId="587FDAB8" w14:textId="3BF69A0A" w:rsidR="00120342" w:rsidRDefault="00120342" w:rsidP="00120342">
      <w:pPr>
        <w:jc w:val="center"/>
        <w:rPr>
          <w:rFonts w:ascii="黑体" w:eastAsia="黑体" w:hAnsi="黑体" w:cs="Helvetica"/>
          <w:b/>
          <w:bCs/>
          <w:color w:val="333333"/>
          <w:sz w:val="32"/>
          <w:szCs w:val="32"/>
          <w:shd w:val="clear" w:color="auto" w:fill="FFFFFF"/>
        </w:rPr>
      </w:pPr>
    </w:p>
    <w:tbl>
      <w:tblPr>
        <w:tblW w:w="0" w:type="auto"/>
        <w:tblCellMar>
          <w:left w:w="0" w:type="dxa"/>
          <w:right w:w="0" w:type="dxa"/>
        </w:tblCellMar>
        <w:tblLook w:val="04A0" w:firstRow="1" w:lastRow="0" w:firstColumn="1" w:lastColumn="0" w:noHBand="0" w:noVBand="1"/>
      </w:tblPr>
      <w:tblGrid>
        <w:gridCol w:w="2675"/>
        <w:gridCol w:w="1275"/>
        <w:gridCol w:w="4340"/>
      </w:tblGrid>
      <w:tr w:rsidR="00120342" w:rsidRPr="00120342" w14:paraId="65590073" w14:textId="77777777" w:rsidTr="00120342">
        <w:trPr>
          <w:trHeight w:val="330"/>
        </w:trPr>
        <w:tc>
          <w:tcPr>
            <w:tcW w:w="399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34541BDC" w14:textId="77777777" w:rsidR="00120342" w:rsidRPr="00120342" w:rsidRDefault="00120342" w:rsidP="00120342">
            <w:pPr>
              <w:widowControl/>
              <w:spacing w:line="360" w:lineRule="atLeast"/>
              <w:jc w:val="center"/>
              <w:rPr>
                <w:rFonts w:ascii="宋体" w:eastAsia="宋体" w:hAnsi="宋体" w:cs="宋体"/>
                <w:color w:val="333333"/>
                <w:kern w:val="0"/>
                <w:szCs w:val="21"/>
              </w:rPr>
            </w:pPr>
            <w:r w:rsidRPr="00120342">
              <w:rPr>
                <w:rFonts w:ascii="宋体" w:eastAsia="宋体" w:hAnsi="宋体" w:cs="宋体"/>
                <w:b/>
                <w:bCs/>
                <w:color w:val="333333"/>
                <w:kern w:val="0"/>
                <w:szCs w:val="21"/>
              </w:rPr>
              <w:t>指标</w:t>
            </w:r>
          </w:p>
        </w:tc>
        <w:tc>
          <w:tcPr>
            <w:tcW w:w="17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19BDA69C"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b/>
                <w:bCs/>
                <w:color w:val="333333"/>
                <w:kern w:val="0"/>
                <w:szCs w:val="21"/>
              </w:rPr>
              <w:t>权重</w:t>
            </w:r>
          </w:p>
        </w:tc>
        <w:tc>
          <w:tcPr>
            <w:tcW w:w="65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1BAD606D"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b/>
                <w:bCs/>
                <w:color w:val="333333"/>
                <w:kern w:val="0"/>
                <w:szCs w:val="21"/>
              </w:rPr>
              <w:t>要点</w:t>
            </w:r>
          </w:p>
        </w:tc>
      </w:tr>
      <w:tr w:rsidR="00120342" w:rsidRPr="00120342" w14:paraId="2B97B756" w14:textId="77777777" w:rsidTr="00120342">
        <w:trPr>
          <w:trHeight w:val="330"/>
        </w:trPr>
        <w:tc>
          <w:tcPr>
            <w:tcW w:w="399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2273273A"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研究水平与贡献</w:t>
            </w:r>
          </w:p>
        </w:tc>
        <w:tc>
          <w:tcPr>
            <w:tcW w:w="17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36B4A1AE"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40%</w:t>
            </w:r>
          </w:p>
        </w:tc>
        <w:tc>
          <w:tcPr>
            <w:tcW w:w="65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4AAB603C"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总体定位与研究方向; 代表性研究成果水平与国际学术影响；实验室的特色工作；承担科研任务情况;对国家、行业、区域重大需求和社会经济发展的贡献。</w:t>
            </w:r>
          </w:p>
        </w:tc>
      </w:tr>
      <w:tr w:rsidR="00120342" w:rsidRPr="00120342" w14:paraId="3573522B" w14:textId="77777777" w:rsidTr="00120342">
        <w:trPr>
          <w:trHeight w:val="330"/>
        </w:trPr>
        <w:tc>
          <w:tcPr>
            <w:tcW w:w="399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76613A67"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研究队伍建设</w:t>
            </w:r>
          </w:p>
        </w:tc>
        <w:tc>
          <w:tcPr>
            <w:tcW w:w="17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0B0A6B4C"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20%</w:t>
            </w:r>
          </w:p>
        </w:tc>
        <w:tc>
          <w:tcPr>
            <w:tcW w:w="65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29C2E90D"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实验室主任与学术带头人作用;队伍结构与人才梯队;青年骨干培养与引进；访问学者与博士后研究人员。</w:t>
            </w:r>
          </w:p>
        </w:tc>
      </w:tr>
      <w:tr w:rsidR="00120342" w:rsidRPr="00120342" w14:paraId="570475A6" w14:textId="77777777" w:rsidTr="00120342">
        <w:trPr>
          <w:trHeight w:val="330"/>
        </w:trPr>
        <w:tc>
          <w:tcPr>
            <w:tcW w:w="399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2424092D"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学科发展与人才培养</w:t>
            </w:r>
          </w:p>
        </w:tc>
        <w:tc>
          <w:tcPr>
            <w:tcW w:w="17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1580B6C0"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20%</w:t>
            </w:r>
          </w:p>
        </w:tc>
        <w:tc>
          <w:tcPr>
            <w:tcW w:w="65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05EFAE75"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推动学科建设水平提升；促进学科交叉和新兴学科发展；研究生参与科研课题及本科生参与科研活动；创新人才培养质量。</w:t>
            </w:r>
          </w:p>
        </w:tc>
      </w:tr>
      <w:tr w:rsidR="00120342" w:rsidRPr="00120342" w14:paraId="7E7A92C5" w14:textId="77777777" w:rsidTr="00120342">
        <w:trPr>
          <w:trHeight w:val="330"/>
        </w:trPr>
        <w:tc>
          <w:tcPr>
            <w:tcW w:w="399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61225584"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开放与运行管理</w:t>
            </w:r>
          </w:p>
        </w:tc>
        <w:tc>
          <w:tcPr>
            <w:tcW w:w="17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7D379E96"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20%</w:t>
            </w:r>
          </w:p>
        </w:tc>
        <w:tc>
          <w:tcPr>
            <w:tcW w:w="6540" w:type="dxa"/>
            <w:tcBorders>
              <w:top w:val="single" w:sz="6" w:space="0" w:color="E6E6E6"/>
              <w:left w:val="single" w:sz="6" w:space="0" w:color="E6E6E6"/>
              <w:bottom w:val="single" w:sz="6" w:space="0" w:color="E6E6E6"/>
              <w:right w:val="single" w:sz="6" w:space="0" w:color="E6E6E6"/>
            </w:tcBorders>
            <w:tcMar>
              <w:top w:w="30" w:type="dxa"/>
              <w:left w:w="150" w:type="dxa"/>
              <w:bottom w:w="30" w:type="dxa"/>
              <w:right w:w="150" w:type="dxa"/>
            </w:tcMar>
            <w:vAlign w:val="center"/>
            <w:hideMark/>
          </w:tcPr>
          <w:p w14:paraId="59CBE770" w14:textId="77777777" w:rsidR="00120342" w:rsidRPr="00120342" w:rsidRDefault="00120342" w:rsidP="00120342">
            <w:pPr>
              <w:widowControl/>
              <w:wordWrap w:val="0"/>
              <w:spacing w:line="360" w:lineRule="atLeast"/>
              <w:jc w:val="center"/>
              <w:rPr>
                <w:rFonts w:ascii="宋体" w:eastAsia="宋体" w:hAnsi="宋体" w:cs="宋体"/>
                <w:color w:val="333333"/>
                <w:kern w:val="0"/>
                <w:szCs w:val="21"/>
              </w:rPr>
            </w:pPr>
            <w:r w:rsidRPr="00120342">
              <w:rPr>
                <w:rFonts w:ascii="宋体" w:eastAsia="宋体" w:hAnsi="宋体" w:cs="宋体"/>
                <w:color w:val="333333"/>
                <w:kern w:val="0"/>
                <w:szCs w:val="21"/>
              </w:rPr>
              <w:t>开放课题、学术交流合作；仪器设备和资源开放共享；科学传播；实验室管理、网站和内部制度建设；创新氛围和学风建设；依托高校支持。</w:t>
            </w:r>
          </w:p>
        </w:tc>
      </w:tr>
    </w:tbl>
    <w:p w14:paraId="3F5D7CAA"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指标体系说明：</w:t>
      </w:r>
    </w:p>
    <w:p w14:paraId="00844B38"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b/>
          <w:bCs/>
          <w:color w:val="333333"/>
          <w:kern w:val="0"/>
          <w:szCs w:val="21"/>
        </w:rPr>
        <w:t>一、研究水平与贡献</w:t>
      </w:r>
    </w:p>
    <w:p w14:paraId="6E46656E"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1. </w:t>
      </w:r>
      <w:r w:rsidRPr="00120342">
        <w:rPr>
          <w:rFonts w:ascii="Helvetica" w:eastAsia="宋体" w:hAnsi="Helvetica" w:cs="Helvetica"/>
          <w:color w:val="333333"/>
          <w:kern w:val="0"/>
          <w:szCs w:val="21"/>
        </w:rPr>
        <w:t>总体定位与研究方向。</w:t>
      </w:r>
    </w:p>
    <w:p w14:paraId="1DAE0EBF"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实验室总体定位明确，思路清晰，特色鲜明。研究方向符合科学发展趋势、聚焦国家重大战略需求，服务区域和行业发展需要。各主要研究方向围绕实验室整体思路和总体目标展开，并且相互有机联系，发展良好。</w:t>
      </w:r>
    </w:p>
    <w:p w14:paraId="3978760D"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2. </w:t>
      </w:r>
      <w:r w:rsidRPr="00120342">
        <w:rPr>
          <w:rFonts w:ascii="Helvetica" w:eastAsia="宋体" w:hAnsi="Helvetica" w:cs="Helvetica"/>
          <w:color w:val="333333"/>
          <w:kern w:val="0"/>
          <w:szCs w:val="21"/>
        </w:rPr>
        <w:t>承担科研任务情况。</w:t>
      </w:r>
    </w:p>
    <w:p w14:paraId="5D55A132"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实验室有较强的承担重大科研任务的能力，评估期内牵头或作为主要参与单位承担了国家、地方和行业的重大科研任务，并发挥了核心作用，产生了重要科研成果。</w:t>
      </w:r>
    </w:p>
    <w:p w14:paraId="3915D827"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3. </w:t>
      </w:r>
      <w:r w:rsidRPr="00120342">
        <w:rPr>
          <w:rFonts w:ascii="Helvetica" w:eastAsia="宋体" w:hAnsi="Helvetica" w:cs="Helvetica"/>
          <w:color w:val="333333"/>
          <w:kern w:val="0"/>
          <w:szCs w:val="21"/>
        </w:rPr>
        <w:t>代表性研究成果水平与学术影响，对国家、行业、区域重大需求和社会经济发展的贡献。</w:t>
      </w:r>
    </w:p>
    <w:p w14:paraId="1612139B"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代表性成果是指评估期内由实验室人员在本实验室完成的重大科研成果，以及通过国内外合作研究取得的重要成果。代表性成果应是根据科学前沿和国家、行业、区域重大需求所开展的、为促进科学发展或解决关键科技问题以及为国家、行业、区域发展决策提供科技支撑等方面所取得的系列进展，而不是一些关联度不高的研究方向的成果汇总。</w:t>
      </w:r>
    </w:p>
    <w:p w14:paraId="4E86E711"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代表性成果的表述应明确、具体，包括：</w:t>
      </w:r>
    </w:p>
    <w:p w14:paraId="285B5523"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1</w:t>
      </w:r>
      <w:r w:rsidRPr="00120342">
        <w:rPr>
          <w:rFonts w:ascii="Helvetica" w:eastAsia="宋体" w:hAnsi="Helvetica" w:cs="Helvetica"/>
          <w:color w:val="333333"/>
          <w:kern w:val="0"/>
          <w:szCs w:val="21"/>
        </w:rPr>
        <w:t>）在科学前沿探索中取得的具有较大国际影响的原创成果，如在本领域公认的优秀期刊上发表高水平学术论文，出版学术专著，得到国内外学术界公认并被广泛引用；或受邀在国际重要学术会议上发表报告，产生重要学术影响。</w:t>
      </w:r>
    </w:p>
    <w:p w14:paraId="52DDF103"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lastRenderedPageBreak/>
        <w:t>（</w:t>
      </w:r>
      <w:r w:rsidRPr="00120342">
        <w:rPr>
          <w:rFonts w:ascii="Helvetica" w:eastAsia="宋体" w:hAnsi="Helvetica" w:cs="Helvetica"/>
          <w:color w:val="333333"/>
          <w:kern w:val="0"/>
          <w:szCs w:val="21"/>
        </w:rPr>
        <w:t>2</w:t>
      </w:r>
      <w:r w:rsidRPr="00120342">
        <w:rPr>
          <w:rFonts w:ascii="Helvetica" w:eastAsia="宋体" w:hAnsi="Helvetica" w:cs="Helvetica"/>
          <w:color w:val="333333"/>
          <w:kern w:val="0"/>
          <w:szCs w:val="21"/>
        </w:rPr>
        <w:t>）在解决经济建设、社会发展或国家安全的重大科技问题和重大需求中，创新思想与方法，实现重要理论创新、关键技术突破或系统集成，形成国家、行业、地方重要标准或规范，拥有核心专利等自主知识产权，取得创造性成果并实现成果转化，获得良好的经济和社会效益。</w:t>
      </w:r>
    </w:p>
    <w:p w14:paraId="2773DD01"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3</w:t>
      </w:r>
      <w:r w:rsidRPr="00120342">
        <w:rPr>
          <w:rFonts w:ascii="Helvetica" w:eastAsia="宋体" w:hAnsi="Helvetica" w:cs="Helvetica"/>
          <w:color w:val="333333"/>
          <w:kern w:val="0"/>
          <w:szCs w:val="21"/>
        </w:rPr>
        <w:t>）在重大科学仪器研制开发、实验技术方法创新和改进方面取得突破性进展。</w:t>
      </w:r>
    </w:p>
    <w:p w14:paraId="22F22BD5"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4</w:t>
      </w:r>
      <w:r w:rsidRPr="00120342">
        <w:rPr>
          <w:rFonts w:ascii="Helvetica" w:eastAsia="宋体" w:hAnsi="Helvetica" w:cs="Helvetica"/>
          <w:color w:val="333333"/>
          <w:kern w:val="0"/>
          <w:szCs w:val="21"/>
        </w:rPr>
        <w:t>）为宏观决策、社会建设、经济建设提供政策参考建议和科学依据，或建立理论模型，并被采纳实施，取得良好的社会、经济效益。</w:t>
      </w:r>
    </w:p>
    <w:p w14:paraId="3F885442"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5</w:t>
      </w:r>
      <w:r w:rsidRPr="00120342">
        <w:rPr>
          <w:rFonts w:ascii="Helvetica" w:eastAsia="宋体" w:hAnsi="Helvetica" w:cs="Helvetica"/>
          <w:color w:val="333333"/>
          <w:kern w:val="0"/>
          <w:szCs w:val="21"/>
        </w:rPr>
        <w:t>）基础性工作成果。基础科学数据、资料、标本等科技资源库建设，具有权威性、系统性、完整性、科学性，并提供良好的公共服务和资源共享，为相关领域科学研究提供支撑。</w:t>
      </w:r>
    </w:p>
    <w:p w14:paraId="6C15458F"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b/>
          <w:bCs/>
          <w:color w:val="333333"/>
          <w:kern w:val="0"/>
          <w:szCs w:val="21"/>
        </w:rPr>
        <w:t>二、研究队伍建设</w:t>
      </w:r>
    </w:p>
    <w:p w14:paraId="071A7A23"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1. </w:t>
      </w:r>
      <w:r w:rsidRPr="00120342">
        <w:rPr>
          <w:rFonts w:ascii="Helvetica" w:eastAsia="宋体" w:hAnsi="Helvetica" w:cs="Helvetica"/>
          <w:color w:val="333333"/>
          <w:kern w:val="0"/>
          <w:szCs w:val="21"/>
        </w:rPr>
        <w:t>实验室主任与学术带头人作用。</w:t>
      </w:r>
    </w:p>
    <w:p w14:paraId="1DCC3582"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实验室主任是本领域高水平的学术带头人，具有较强的组织管理能力，能够团结和凝聚队伍，全身心投入实验室工作，在实验室的建设和发展中起到主导作用。</w:t>
      </w:r>
    </w:p>
    <w:p w14:paraId="3E2D76D2"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实验室在各个研究方向有高水平的学术带头人和学术骨干，学术带头人为本领域有影响的学者，对本领域的科学现状和发展有深刻理解，学术思想活跃，研究成果显著。</w:t>
      </w:r>
    </w:p>
    <w:p w14:paraId="713431C6"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2. </w:t>
      </w:r>
      <w:r w:rsidRPr="00120342">
        <w:rPr>
          <w:rFonts w:ascii="Helvetica" w:eastAsia="宋体" w:hAnsi="Helvetica" w:cs="Helvetica"/>
          <w:color w:val="333333"/>
          <w:kern w:val="0"/>
          <w:szCs w:val="21"/>
        </w:rPr>
        <w:t>队伍结构与创新团队建设。</w:t>
      </w:r>
    </w:p>
    <w:p w14:paraId="7A6670D0"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实验室能够吸引和稳定一支高水平、多学科的人才队伍，持续开展深入、系统的研究。队伍结构合理，并在长期合作基础上围绕主要研究方向形成若干活跃的创新团队。</w:t>
      </w:r>
    </w:p>
    <w:p w14:paraId="4702CD61"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实验室人员在知名国际、国内学术组织或学术期刊中担任重要职务，在国家、行业、地方科技计划中担任咨询专家。实验室学术骨干在主要研究方向上开展工作、并为代表性成果的主要完成人。</w:t>
      </w:r>
    </w:p>
    <w:p w14:paraId="518DD8C8"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3. </w:t>
      </w:r>
      <w:r w:rsidRPr="00120342">
        <w:rPr>
          <w:rFonts w:ascii="Helvetica" w:eastAsia="宋体" w:hAnsi="Helvetica" w:cs="Helvetica"/>
          <w:color w:val="333333"/>
          <w:kern w:val="0"/>
          <w:szCs w:val="21"/>
        </w:rPr>
        <w:t>青年骨干人才引进和培养。</w:t>
      </w:r>
    </w:p>
    <w:p w14:paraId="49C242A1"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制定了引进和培养优秀青年人才的政策措施，聚集和稳定了一批优秀青年人才。实验室各主要方向优秀青年人才承担科研任务情况及取得的研究成果情况，特别是</w:t>
      </w:r>
      <w:r w:rsidRPr="00120342">
        <w:rPr>
          <w:rFonts w:ascii="Helvetica" w:eastAsia="宋体" w:hAnsi="Helvetica" w:cs="Helvetica"/>
          <w:color w:val="333333"/>
          <w:kern w:val="0"/>
          <w:szCs w:val="21"/>
        </w:rPr>
        <w:t>40</w:t>
      </w:r>
      <w:r w:rsidRPr="00120342">
        <w:rPr>
          <w:rFonts w:ascii="Helvetica" w:eastAsia="宋体" w:hAnsi="Helvetica" w:cs="Helvetica"/>
          <w:color w:val="333333"/>
          <w:kern w:val="0"/>
          <w:szCs w:val="21"/>
        </w:rPr>
        <w:t>岁以下研究骨干比例及作用。青年骨干人员的成长情况，如获得人才计划支持、赴高水平研究机构访学等。</w:t>
      </w:r>
    </w:p>
    <w:p w14:paraId="3C82E963"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4. </w:t>
      </w:r>
      <w:r w:rsidRPr="00120342">
        <w:rPr>
          <w:rFonts w:ascii="Helvetica" w:eastAsia="宋体" w:hAnsi="Helvetica" w:cs="Helvetica"/>
          <w:color w:val="333333"/>
          <w:kern w:val="0"/>
          <w:szCs w:val="21"/>
        </w:rPr>
        <w:t>访问学者与博士后研究人员。</w:t>
      </w:r>
    </w:p>
    <w:p w14:paraId="05405F13"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建立访问学者制度，保持一定数量的访问学者在实验室开展合作研究，吸引国内外同领域实验室研究人员到本实验室开展访问学者研究工作。吸引国内外优秀博士毕业生等青年人才到实验室开展博士后研究工作。</w:t>
      </w:r>
    </w:p>
    <w:p w14:paraId="118C02CB"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b/>
          <w:bCs/>
          <w:color w:val="333333"/>
          <w:kern w:val="0"/>
          <w:szCs w:val="21"/>
        </w:rPr>
        <w:t>三、学科发展与人才培养</w:t>
      </w:r>
    </w:p>
    <w:p w14:paraId="4353E3A3"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1. </w:t>
      </w:r>
      <w:r w:rsidRPr="00120342">
        <w:rPr>
          <w:rFonts w:ascii="Helvetica" w:eastAsia="宋体" w:hAnsi="Helvetica" w:cs="Helvetica"/>
          <w:color w:val="333333"/>
          <w:kern w:val="0"/>
          <w:szCs w:val="21"/>
        </w:rPr>
        <w:t>推动所依托学科、交叉学科和新兴学科发展。</w:t>
      </w:r>
    </w:p>
    <w:p w14:paraId="0450BF68"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实验室的科学研究及人才培养能够对所依托学科的建设发展起到重要的支撑作用，通过发挥优势特色，提高水平和层次，达到本领域国内领先或国际先进水平。</w:t>
      </w:r>
    </w:p>
    <w:p w14:paraId="28CBAE6F"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通过开展跨学科的交叉研究和队伍建设，形成新的研究方向，推动交叉学科和新兴学科的发展。</w:t>
      </w:r>
    </w:p>
    <w:p w14:paraId="28EF8DE6"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2. </w:t>
      </w:r>
      <w:r w:rsidRPr="00120342">
        <w:rPr>
          <w:rFonts w:ascii="Helvetica" w:eastAsia="宋体" w:hAnsi="Helvetica" w:cs="Helvetica"/>
          <w:color w:val="333333"/>
          <w:kern w:val="0"/>
          <w:szCs w:val="21"/>
        </w:rPr>
        <w:t>科教融合推动教学发展。</w:t>
      </w:r>
    </w:p>
    <w:p w14:paraId="09238587"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lastRenderedPageBreak/>
        <w:t>实验室固定人员承担教学任务，开设主讲课程，将本领域前沿研究情况、实验室科研成果等通过多种方式转化为教学资源，并对其他机构的人才培养发挥辐射作用。实验室获得国家级、省部级教学奖励。</w:t>
      </w:r>
    </w:p>
    <w:p w14:paraId="32C63EC5"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3. </w:t>
      </w:r>
      <w:r w:rsidRPr="00120342">
        <w:rPr>
          <w:rFonts w:ascii="Helvetica" w:eastAsia="宋体" w:hAnsi="Helvetica" w:cs="Helvetica"/>
          <w:color w:val="333333"/>
          <w:kern w:val="0"/>
          <w:szCs w:val="21"/>
        </w:rPr>
        <w:t>研究生与本科生培养情况。</w:t>
      </w:r>
    </w:p>
    <w:p w14:paraId="7A62E447"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1</w:t>
      </w:r>
      <w:r w:rsidRPr="00120342">
        <w:rPr>
          <w:rFonts w:ascii="Helvetica" w:eastAsia="宋体" w:hAnsi="Helvetica" w:cs="Helvetica"/>
          <w:color w:val="333333"/>
          <w:kern w:val="0"/>
          <w:szCs w:val="21"/>
        </w:rPr>
        <w:t>）实验室是本学科领域高水平科研人才的重要培养基地，培养质量获得同行认可。</w:t>
      </w:r>
    </w:p>
    <w:p w14:paraId="3EDC7A65"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2</w:t>
      </w:r>
      <w:r w:rsidRPr="00120342">
        <w:rPr>
          <w:rFonts w:ascii="Helvetica" w:eastAsia="宋体" w:hAnsi="Helvetica" w:cs="Helvetica"/>
          <w:color w:val="333333"/>
          <w:kern w:val="0"/>
          <w:szCs w:val="21"/>
        </w:rPr>
        <w:t>）研究生能够参与实验室承担的科研任务，</w:t>
      </w:r>
      <w:proofErr w:type="gramStart"/>
      <w:r w:rsidRPr="00120342">
        <w:rPr>
          <w:rFonts w:ascii="Helvetica" w:eastAsia="宋体" w:hAnsi="Helvetica" w:cs="Helvetica"/>
          <w:color w:val="333333"/>
          <w:kern w:val="0"/>
          <w:szCs w:val="21"/>
        </w:rPr>
        <w:t>发表较</w:t>
      </w:r>
      <w:proofErr w:type="gramEnd"/>
      <w:r w:rsidRPr="00120342">
        <w:rPr>
          <w:rFonts w:ascii="Helvetica" w:eastAsia="宋体" w:hAnsi="Helvetica" w:cs="Helvetica"/>
          <w:color w:val="333333"/>
          <w:kern w:val="0"/>
          <w:szCs w:val="21"/>
        </w:rPr>
        <w:t>高水平的学术论文，积极参加国际学术交流并在高水平学术会议上发表论文和报告等。</w:t>
      </w:r>
    </w:p>
    <w:p w14:paraId="2B503F3F"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3</w:t>
      </w:r>
      <w:r w:rsidRPr="00120342">
        <w:rPr>
          <w:rFonts w:ascii="Helvetica" w:eastAsia="宋体" w:hAnsi="Helvetica" w:cs="Helvetica"/>
          <w:color w:val="333333"/>
          <w:kern w:val="0"/>
          <w:szCs w:val="21"/>
        </w:rPr>
        <w:t>）实验室能够吸纳一定数量的优秀本科生进入实验室，参与科学研究。</w:t>
      </w:r>
    </w:p>
    <w:p w14:paraId="40972376"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4</w:t>
      </w:r>
      <w:r w:rsidRPr="00120342">
        <w:rPr>
          <w:rFonts w:ascii="Helvetica" w:eastAsia="宋体" w:hAnsi="Helvetica" w:cs="Helvetica"/>
          <w:color w:val="333333"/>
          <w:kern w:val="0"/>
          <w:szCs w:val="21"/>
        </w:rPr>
        <w:t>）实验室能够开展跨院系、跨学科的人才交流和培养，并积极与科研机构和行业企业联合培养创新人才。</w:t>
      </w:r>
    </w:p>
    <w:p w14:paraId="01383BF7"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b/>
          <w:bCs/>
          <w:color w:val="333333"/>
          <w:kern w:val="0"/>
          <w:szCs w:val="21"/>
        </w:rPr>
        <w:t>四、开放交流与运行管理</w:t>
      </w:r>
    </w:p>
    <w:p w14:paraId="65611AE4"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1. </w:t>
      </w:r>
      <w:r w:rsidRPr="00120342">
        <w:rPr>
          <w:rFonts w:ascii="Helvetica" w:eastAsia="宋体" w:hAnsi="Helvetica" w:cs="Helvetica"/>
          <w:color w:val="333333"/>
          <w:kern w:val="0"/>
          <w:szCs w:val="21"/>
        </w:rPr>
        <w:t>开放课题与科学传播。</w:t>
      </w:r>
    </w:p>
    <w:p w14:paraId="59518474"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实验室围绕主要研究方向设置开放课题，吸引国内外优秀人才与实验室开展合作研究，产出高质量的开放研究成果。</w:t>
      </w:r>
    </w:p>
    <w:p w14:paraId="27534376"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实验室开展科学知识传播，定期向社会公众特别是学生开放，开展科普活动等。</w:t>
      </w:r>
    </w:p>
    <w:p w14:paraId="404FE03B"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2. </w:t>
      </w:r>
      <w:r w:rsidRPr="00120342">
        <w:rPr>
          <w:rFonts w:ascii="Helvetica" w:eastAsia="宋体" w:hAnsi="Helvetica" w:cs="Helvetica"/>
          <w:color w:val="333333"/>
          <w:kern w:val="0"/>
          <w:szCs w:val="21"/>
        </w:rPr>
        <w:t>国内外学术交流与合作。</w:t>
      </w:r>
    </w:p>
    <w:p w14:paraId="535A1385"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1</w:t>
      </w:r>
      <w:r w:rsidRPr="00120342">
        <w:rPr>
          <w:rFonts w:ascii="Helvetica" w:eastAsia="宋体" w:hAnsi="Helvetica" w:cs="Helvetica"/>
          <w:color w:val="333333"/>
          <w:kern w:val="0"/>
          <w:szCs w:val="21"/>
        </w:rPr>
        <w:t>）实验室坚持开展高水平、高层次和实质性的国内外学术交流与合作，重视吸引高水平学者到实验室开展学术活动。</w:t>
      </w:r>
    </w:p>
    <w:p w14:paraId="41ABB839"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2</w:t>
      </w:r>
      <w:r w:rsidRPr="00120342">
        <w:rPr>
          <w:rFonts w:ascii="Helvetica" w:eastAsia="宋体" w:hAnsi="Helvetica" w:cs="Helvetica"/>
          <w:color w:val="333333"/>
          <w:kern w:val="0"/>
          <w:szCs w:val="21"/>
        </w:rPr>
        <w:t>）积极参与国际重大科学研究计划，积极承办和参加国际性、全国性、地区性学术会议。</w:t>
      </w:r>
    </w:p>
    <w:p w14:paraId="73C7338D"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3</w:t>
      </w:r>
      <w:r w:rsidRPr="00120342">
        <w:rPr>
          <w:rFonts w:ascii="Helvetica" w:eastAsia="宋体" w:hAnsi="Helvetica" w:cs="Helvetica"/>
          <w:color w:val="333333"/>
          <w:kern w:val="0"/>
          <w:szCs w:val="21"/>
        </w:rPr>
        <w:t>．实验室日常管理、内部制度和网站建设。</w:t>
      </w:r>
    </w:p>
    <w:p w14:paraId="3C11A80D"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1</w:t>
      </w:r>
      <w:r w:rsidRPr="00120342">
        <w:rPr>
          <w:rFonts w:ascii="Helvetica" w:eastAsia="宋体" w:hAnsi="Helvetica" w:cs="Helvetica"/>
          <w:color w:val="333333"/>
          <w:kern w:val="0"/>
          <w:szCs w:val="21"/>
        </w:rPr>
        <w:t>）学术委员会由国内外同领域高水平专家组成，提倡聘请外籍专家担任学术委员会委员，并逐步达到一定比例。学术委员会应当按时召开会议，并对实验室发展、学术方向把握、研究人员聘用及评价考核等发挥重要作用。</w:t>
      </w:r>
    </w:p>
    <w:p w14:paraId="0C68D012"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2</w:t>
      </w:r>
      <w:r w:rsidRPr="00120342">
        <w:rPr>
          <w:rFonts w:ascii="Helvetica" w:eastAsia="宋体" w:hAnsi="Helvetica" w:cs="Helvetica"/>
          <w:color w:val="333333"/>
          <w:kern w:val="0"/>
          <w:szCs w:val="21"/>
        </w:rPr>
        <w:t>）实验室具有宽松民主、潜心研究的学术环境，注重学风建设，具有良好的创新文化氛围，激励创新的政策措施得力。</w:t>
      </w:r>
    </w:p>
    <w:p w14:paraId="2C02F1BF"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3</w:t>
      </w:r>
      <w:r w:rsidRPr="00120342">
        <w:rPr>
          <w:rFonts w:ascii="Helvetica" w:eastAsia="宋体" w:hAnsi="Helvetica" w:cs="Helvetica"/>
          <w:color w:val="333333"/>
          <w:kern w:val="0"/>
          <w:szCs w:val="21"/>
        </w:rPr>
        <w:t>）实验室规章制度健全，日常管理科学有序。开放课题立项、经费支出、人员聘用等重大事项决策公开透明。人员岗位职责明确，研究资料完整，环境整洁。</w:t>
      </w:r>
    </w:p>
    <w:p w14:paraId="0800F080"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4</w:t>
      </w:r>
      <w:r w:rsidRPr="00120342">
        <w:rPr>
          <w:rFonts w:ascii="Helvetica" w:eastAsia="宋体" w:hAnsi="Helvetica" w:cs="Helvetica"/>
          <w:color w:val="333333"/>
          <w:kern w:val="0"/>
          <w:szCs w:val="21"/>
        </w:rPr>
        <w:t>）实验室网站运行良好，信息丰富并且更新及时，按照规定应公开的内容能够按时发布并可供查验。</w:t>
      </w:r>
    </w:p>
    <w:p w14:paraId="27171640"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 xml:space="preserve">4. </w:t>
      </w:r>
      <w:r w:rsidRPr="00120342">
        <w:rPr>
          <w:rFonts w:ascii="Helvetica" w:eastAsia="宋体" w:hAnsi="Helvetica" w:cs="Helvetica"/>
          <w:color w:val="333333"/>
          <w:kern w:val="0"/>
          <w:szCs w:val="21"/>
        </w:rPr>
        <w:t>仪器设备使用与共享。</w:t>
      </w:r>
    </w:p>
    <w:p w14:paraId="3BBD4E1F"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实验室研究条件满足科研工作需要并具有特色。仪器设备使用率高，建立了大型仪器设备开放和共享机制。实验室具备仪器设备的自主研制和更新改造能力，开展实验技术方法的创新。</w:t>
      </w:r>
    </w:p>
    <w:p w14:paraId="686ACFEE"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5.</w:t>
      </w:r>
      <w:r w:rsidRPr="00120342">
        <w:rPr>
          <w:rFonts w:ascii="Helvetica" w:eastAsia="宋体" w:hAnsi="Helvetica" w:cs="Helvetica"/>
          <w:color w:val="333333"/>
          <w:kern w:val="0"/>
          <w:szCs w:val="21"/>
        </w:rPr>
        <w:t>依托高校支持。</w:t>
      </w:r>
    </w:p>
    <w:p w14:paraId="64B7C10A"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1</w:t>
      </w:r>
      <w:r w:rsidRPr="00120342">
        <w:rPr>
          <w:rFonts w:ascii="Helvetica" w:eastAsia="宋体" w:hAnsi="Helvetica" w:cs="Helvetica"/>
          <w:color w:val="333333"/>
          <w:kern w:val="0"/>
          <w:szCs w:val="21"/>
        </w:rPr>
        <w:t>）成立了实验室建设和运行管理委员会。</w:t>
      </w:r>
    </w:p>
    <w:p w14:paraId="787585D4"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lastRenderedPageBreak/>
        <w:t>（</w:t>
      </w:r>
      <w:r w:rsidRPr="00120342">
        <w:rPr>
          <w:rFonts w:ascii="Helvetica" w:eastAsia="宋体" w:hAnsi="Helvetica" w:cs="Helvetica"/>
          <w:color w:val="333333"/>
          <w:kern w:val="0"/>
          <w:szCs w:val="21"/>
        </w:rPr>
        <w:t>2</w:t>
      </w:r>
      <w:r w:rsidRPr="00120342">
        <w:rPr>
          <w:rFonts w:ascii="Helvetica" w:eastAsia="宋体" w:hAnsi="Helvetica" w:cs="Helvetica"/>
          <w:color w:val="333333"/>
          <w:kern w:val="0"/>
          <w:szCs w:val="21"/>
        </w:rPr>
        <w:t>）将实验室基本运行经费纳入学校年度预算，并落实每年基本运行经费不低于</w:t>
      </w:r>
      <w:r w:rsidRPr="00120342">
        <w:rPr>
          <w:rFonts w:ascii="Helvetica" w:eastAsia="宋体" w:hAnsi="Helvetica" w:cs="Helvetica"/>
          <w:color w:val="333333"/>
          <w:kern w:val="0"/>
          <w:szCs w:val="21"/>
        </w:rPr>
        <w:t>100</w:t>
      </w:r>
      <w:r w:rsidRPr="00120342">
        <w:rPr>
          <w:rFonts w:ascii="Helvetica" w:eastAsia="宋体" w:hAnsi="Helvetica" w:cs="Helvetica"/>
          <w:color w:val="333333"/>
          <w:kern w:val="0"/>
          <w:szCs w:val="21"/>
        </w:rPr>
        <w:t>万元。</w:t>
      </w:r>
    </w:p>
    <w:p w14:paraId="4F9C171E"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3</w:t>
      </w:r>
      <w:r w:rsidRPr="00120342">
        <w:rPr>
          <w:rFonts w:ascii="Helvetica" w:eastAsia="宋体" w:hAnsi="Helvetica" w:cs="Helvetica"/>
          <w:color w:val="333333"/>
          <w:kern w:val="0"/>
          <w:szCs w:val="21"/>
        </w:rPr>
        <w:t>）在学科建设、人才引进和队伍建设、研究生培养指标、自主选题研究等方面对实验室给予重点支持。</w:t>
      </w:r>
    </w:p>
    <w:p w14:paraId="322FB28A"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4</w:t>
      </w:r>
      <w:r w:rsidRPr="00120342">
        <w:rPr>
          <w:rFonts w:ascii="Helvetica" w:eastAsia="宋体" w:hAnsi="Helvetica" w:cs="Helvetica"/>
          <w:color w:val="333333"/>
          <w:kern w:val="0"/>
          <w:szCs w:val="21"/>
        </w:rPr>
        <w:t>）保障实验室仪器设备和科研用房相对集中。</w:t>
      </w:r>
    </w:p>
    <w:p w14:paraId="6AE12D66" w14:textId="77777777" w:rsidR="00120342" w:rsidRPr="00120342" w:rsidRDefault="00120342" w:rsidP="00120342">
      <w:pPr>
        <w:widowControl/>
        <w:shd w:val="clear" w:color="auto" w:fill="FFFFFF"/>
        <w:spacing w:line="360" w:lineRule="atLeast"/>
        <w:ind w:firstLine="480"/>
        <w:jc w:val="left"/>
        <w:rPr>
          <w:rFonts w:ascii="Helvetica" w:eastAsia="宋体" w:hAnsi="Helvetica" w:cs="Helvetica"/>
          <w:color w:val="333333"/>
          <w:kern w:val="0"/>
          <w:szCs w:val="21"/>
        </w:rPr>
      </w:pPr>
      <w:r w:rsidRPr="00120342">
        <w:rPr>
          <w:rFonts w:ascii="Helvetica" w:eastAsia="宋体" w:hAnsi="Helvetica" w:cs="Helvetica"/>
          <w:color w:val="333333"/>
          <w:kern w:val="0"/>
          <w:szCs w:val="21"/>
        </w:rPr>
        <w:t>（</w:t>
      </w:r>
      <w:r w:rsidRPr="00120342">
        <w:rPr>
          <w:rFonts w:ascii="Helvetica" w:eastAsia="宋体" w:hAnsi="Helvetica" w:cs="Helvetica"/>
          <w:color w:val="333333"/>
          <w:kern w:val="0"/>
          <w:szCs w:val="21"/>
        </w:rPr>
        <w:t>5</w:t>
      </w:r>
      <w:r w:rsidRPr="00120342">
        <w:rPr>
          <w:rFonts w:ascii="Helvetica" w:eastAsia="宋体" w:hAnsi="Helvetica" w:cs="Helvetica"/>
          <w:color w:val="333333"/>
          <w:kern w:val="0"/>
          <w:szCs w:val="21"/>
        </w:rPr>
        <w:t>）按照《教育部重点实验室建设与运行管理办法》要求，每年对实验室进行年度考核，并针对所存在的问题提出改进措施，及时协调解决实验室发展中的重大问题。</w:t>
      </w:r>
    </w:p>
    <w:p w14:paraId="7E803943" w14:textId="77777777" w:rsidR="00120342" w:rsidRPr="00120342" w:rsidRDefault="00120342" w:rsidP="00120342">
      <w:pPr>
        <w:jc w:val="center"/>
        <w:rPr>
          <w:rFonts w:ascii="黑体" w:eastAsia="黑体" w:hAnsi="黑体" w:hint="eastAsia"/>
          <w:sz w:val="32"/>
          <w:szCs w:val="36"/>
        </w:rPr>
      </w:pPr>
    </w:p>
    <w:sectPr w:rsidR="00120342" w:rsidRPr="00120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AD"/>
    <w:rsid w:val="00120342"/>
    <w:rsid w:val="002F430D"/>
    <w:rsid w:val="00496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1CCC"/>
  <w15:chartTrackingRefBased/>
  <w15:docId w15:val="{561C82B1-C6B9-42F3-BB24-9F5BE44F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alyhf">
    <w:name w:val="text_alyhf"/>
    <w:basedOn w:val="a0"/>
    <w:rsid w:val="0012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418342">
      <w:bodyDiv w:val="1"/>
      <w:marLeft w:val="0"/>
      <w:marRight w:val="0"/>
      <w:marTop w:val="0"/>
      <w:marBottom w:val="0"/>
      <w:divBdr>
        <w:top w:val="none" w:sz="0" w:space="0" w:color="auto"/>
        <w:left w:val="none" w:sz="0" w:space="0" w:color="auto"/>
        <w:bottom w:val="none" w:sz="0" w:space="0" w:color="auto"/>
        <w:right w:val="none" w:sz="0" w:space="0" w:color="auto"/>
      </w:divBdr>
      <w:divsChild>
        <w:div w:id="382948445">
          <w:marLeft w:val="0"/>
          <w:marRight w:val="0"/>
          <w:marTop w:val="0"/>
          <w:marBottom w:val="0"/>
          <w:divBdr>
            <w:top w:val="none" w:sz="0" w:space="0" w:color="auto"/>
            <w:left w:val="none" w:sz="0" w:space="0" w:color="auto"/>
            <w:bottom w:val="none" w:sz="0" w:space="0" w:color="auto"/>
            <w:right w:val="none" w:sz="0" w:space="0" w:color="auto"/>
          </w:divBdr>
          <w:divsChild>
            <w:div w:id="1973559939">
              <w:marLeft w:val="0"/>
              <w:marRight w:val="0"/>
              <w:marTop w:val="0"/>
              <w:marBottom w:val="225"/>
              <w:divBdr>
                <w:top w:val="none" w:sz="0" w:space="0" w:color="auto"/>
                <w:left w:val="none" w:sz="0" w:space="0" w:color="auto"/>
                <w:bottom w:val="none" w:sz="0" w:space="0" w:color="auto"/>
                <w:right w:val="none" w:sz="0" w:space="0" w:color="auto"/>
              </w:divBdr>
              <w:divsChild>
                <w:div w:id="1223830698">
                  <w:marLeft w:val="0"/>
                  <w:marRight w:val="0"/>
                  <w:marTop w:val="0"/>
                  <w:marBottom w:val="0"/>
                  <w:divBdr>
                    <w:top w:val="none" w:sz="0" w:space="0" w:color="auto"/>
                    <w:left w:val="none" w:sz="0" w:space="0" w:color="auto"/>
                    <w:bottom w:val="none" w:sz="0" w:space="0" w:color="auto"/>
                    <w:right w:val="none" w:sz="0" w:space="0" w:color="auto"/>
                  </w:divBdr>
                </w:div>
                <w:div w:id="17241976">
                  <w:marLeft w:val="0"/>
                  <w:marRight w:val="0"/>
                  <w:marTop w:val="0"/>
                  <w:marBottom w:val="0"/>
                  <w:divBdr>
                    <w:top w:val="none" w:sz="0" w:space="0" w:color="auto"/>
                    <w:left w:val="none" w:sz="0" w:space="0" w:color="auto"/>
                    <w:bottom w:val="none" w:sz="0" w:space="0" w:color="auto"/>
                    <w:right w:val="none" w:sz="0" w:space="0" w:color="auto"/>
                  </w:divBdr>
                </w:div>
                <w:div w:id="2009365344">
                  <w:marLeft w:val="0"/>
                  <w:marRight w:val="0"/>
                  <w:marTop w:val="0"/>
                  <w:marBottom w:val="0"/>
                  <w:divBdr>
                    <w:top w:val="none" w:sz="0" w:space="0" w:color="auto"/>
                    <w:left w:val="none" w:sz="0" w:space="0" w:color="auto"/>
                    <w:bottom w:val="none" w:sz="0" w:space="0" w:color="auto"/>
                    <w:right w:val="none" w:sz="0" w:space="0" w:color="auto"/>
                  </w:divBdr>
                </w:div>
                <w:div w:id="749426586">
                  <w:marLeft w:val="0"/>
                  <w:marRight w:val="0"/>
                  <w:marTop w:val="0"/>
                  <w:marBottom w:val="0"/>
                  <w:divBdr>
                    <w:top w:val="none" w:sz="0" w:space="0" w:color="auto"/>
                    <w:left w:val="none" w:sz="0" w:space="0" w:color="auto"/>
                    <w:bottom w:val="none" w:sz="0" w:space="0" w:color="auto"/>
                    <w:right w:val="none" w:sz="0" w:space="0" w:color="auto"/>
                  </w:divBdr>
                </w:div>
                <w:div w:id="1447197267">
                  <w:marLeft w:val="0"/>
                  <w:marRight w:val="0"/>
                  <w:marTop w:val="0"/>
                  <w:marBottom w:val="0"/>
                  <w:divBdr>
                    <w:top w:val="none" w:sz="0" w:space="0" w:color="auto"/>
                    <w:left w:val="none" w:sz="0" w:space="0" w:color="auto"/>
                    <w:bottom w:val="none" w:sz="0" w:space="0" w:color="auto"/>
                    <w:right w:val="none" w:sz="0" w:space="0" w:color="auto"/>
                  </w:divBdr>
                </w:div>
                <w:div w:id="1776513908">
                  <w:marLeft w:val="0"/>
                  <w:marRight w:val="0"/>
                  <w:marTop w:val="0"/>
                  <w:marBottom w:val="0"/>
                  <w:divBdr>
                    <w:top w:val="none" w:sz="0" w:space="0" w:color="auto"/>
                    <w:left w:val="none" w:sz="0" w:space="0" w:color="auto"/>
                    <w:bottom w:val="none" w:sz="0" w:space="0" w:color="auto"/>
                    <w:right w:val="none" w:sz="0" w:space="0" w:color="auto"/>
                  </w:divBdr>
                </w:div>
                <w:div w:id="1349872932">
                  <w:marLeft w:val="0"/>
                  <w:marRight w:val="0"/>
                  <w:marTop w:val="0"/>
                  <w:marBottom w:val="0"/>
                  <w:divBdr>
                    <w:top w:val="none" w:sz="0" w:space="0" w:color="auto"/>
                    <w:left w:val="none" w:sz="0" w:space="0" w:color="auto"/>
                    <w:bottom w:val="none" w:sz="0" w:space="0" w:color="auto"/>
                    <w:right w:val="none" w:sz="0" w:space="0" w:color="auto"/>
                  </w:divBdr>
                </w:div>
                <w:div w:id="435946730">
                  <w:marLeft w:val="0"/>
                  <w:marRight w:val="0"/>
                  <w:marTop w:val="0"/>
                  <w:marBottom w:val="0"/>
                  <w:divBdr>
                    <w:top w:val="none" w:sz="0" w:space="0" w:color="auto"/>
                    <w:left w:val="none" w:sz="0" w:space="0" w:color="auto"/>
                    <w:bottom w:val="none" w:sz="0" w:space="0" w:color="auto"/>
                    <w:right w:val="none" w:sz="0" w:space="0" w:color="auto"/>
                  </w:divBdr>
                </w:div>
                <w:div w:id="516232043">
                  <w:marLeft w:val="0"/>
                  <w:marRight w:val="0"/>
                  <w:marTop w:val="0"/>
                  <w:marBottom w:val="0"/>
                  <w:divBdr>
                    <w:top w:val="none" w:sz="0" w:space="0" w:color="auto"/>
                    <w:left w:val="none" w:sz="0" w:space="0" w:color="auto"/>
                    <w:bottom w:val="none" w:sz="0" w:space="0" w:color="auto"/>
                    <w:right w:val="none" w:sz="0" w:space="0" w:color="auto"/>
                  </w:divBdr>
                </w:div>
                <w:div w:id="1841850775">
                  <w:marLeft w:val="0"/>
                  <w:marRight w:val="0"/>
                  <w:marTop w:val="0"/>
                  <w:marBottom w:val="0"/>
                  <w:divBdr>
                    <w:top w:val="none" w:sz="0" w:space="0" w:color="auto"/>
                    <w:left w:val="none" w:sz="0" w:space="0" w:color="auto"/>
                    <w:bottom w:val="none" w:sz="0" w:space="0" w:color="auto"/>
                    <w:right w:val="none" w:sz="0" w:space="0" w:color="auto"/>
                  </w:divBdr>
                </w:div>
                <w:div w:id="1737586781">
                  <w:marLeft w:val="0"/>
                  <w:marRight w:val="0"/>
                  <w:marTop w:val="0"/>
                  <w:marBottom w:val="0"/>
                  <w:divBdr>
                    <w:top w:val="none" w:sz="0" w:space="0" w:color="auto"/>
                    <w:left w:val="none" w:sz="0" w:space="0" w:color="auto"/>
                    <w:bottom w:val="none" w:sz="0" w:space="0" w:color="auto"/>
                    <w:right w:val="none" w:sz="0" w:space="0" w:color="auto"/>
                  </w:divBdr>
                </w:div>
                <w:div w:id="769617414">
                  <w:marLeft w:val="0"/>
                  <w:marRight w:val="0"/>
                  <w:marTop w:val="0"/>
                  <w:marBottom w:val="0"/>
                  <w:divBdr>
                    <w:top w:val="none" w:sz="0" w:space="0" w:color="auto"/>
                    <w:left w:val="none" w:sz="0" w:space="0" w:color="auto"/>
                    <w:bottom w:val="none" w:sz="0" w:space="0" w:color="auto"/>
                    <w:right w:val="none" w:sz="0" w:space="0" w:color="auto"/>
                  </w:divBdr>
                </w:div>
                <w:div w:id="337586869">
                  <w:marLeft w:val="0"/>
                  <w:marRight w:val="0"/>
                  <w:marTop w:val="0"/>
                  <w:marBottom w:val="0"/>
                  <w:divBdr>
                    <w:top w:val="none" w:sz="0" w:space="0" w:color="auto"/>
                    <w:left w:val="none" w:sz="0" w:space="0" w:color="auto"/>
                    <w:bottom w:val="none" w:sz="0" w:space="0" w:color="auto"/>
                    <w:right w:val="none" w:sz="0" w:space="0" w:color="auto"/>
                  </w:divBdr>
                </w:div>
                <w:div w:id="138883564">
                  <w:marLeft w:val="0"/>
                  <w:marRight w:val="0"/>
                  <w:marTop w:val="0"/>
                  <w:marBottom w:val="0"/>
                  <w:divBdr>
                    <w:top w:val="none" w:sz="0" w:space="0" w:color="auto"/>
                    <w:left w:val="none" w:sz="0" w:space="0" w:color="auto"/>
                    <w:bottom w:val="none" w:sz="0" w:space="0" w:color="auto"/>
                    <w:right w:val="none" w:sz="0" w:space="0" w:color="auto"/>
                  </w:divBdr>
                </w:div>
                <w:div w:id="8433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5665">
          <w:marLeft w:val="0"/>
          <w:marRight w:val="0"/>
          <w:marTop w:val="0"/>
          <w:marBottom w:val="225"/>
          <w:divBdr>
            <w:top w:val="none" w:sz="0" w:space="0" w:color="auto"/>
            <w:left w:val="none" w:sz="0" w:space="0" w:color="auto"/>
            <w:bottom w:val="none" w:sz="0" w:space="0" w:color="auto"/>
            <w:right w:val="none" w:sz="0" w:space="0" w:color="auto"/>
          </w:divBdr>
        </w:div>
        <w:div w:id="1361278548">
          <w:marLeft w:val="0"/>
          <w:marRight w:val="0"/>
          <w:marTop w:val="0"/>
          <w:marBottom w:val="225"/>
          <w:divBdr>
            <w:top w:val="none" w:sz="0" w:space="0" w:color="auto"/>
            <w:left w:val="none" w:sz="0" w:space="0" w:color="auto"/>
            <w:bottom w:val="none" w:sz="0" w:space="0" w:color="auto"/>
            <w:right w:val="none" w:sz="0" w:space="0" w:color="auto"/>
          </w:divBdr>
        </w:div>
        <w:div w:id="836387401">
          <w:marLeft w:val="0"/>
          <w:marRight w:val="0"/>
          <w:marTop w:val="0"/>
          <w:marBottom w:val="225"/>
          <w:divBdr>
            <w:top w:val="none" w:sz="0" w:space="0" w:color="auto"/>
            <w:left w:val="none" w:sz="0" w:space="0" w:color="auto"/>
            <w:bottom w:val="none" w:sz="0" w:space="0" w:color="auto"/>
            <w:right w:val="none" w:sz="0" w:space="0" w:color="auto"/>
          </w:divBdr>
        </w:div>
        <w:div w:id="373969771">
          <w:marLeft w:val="0"/>
          <w:marRight w:val="0"/>
          <w:marTop w:val="0"/>
          <w:marBottom w:val="225"/>
          <w:divBdr>
            <w:top w:val="none" w:sz="0" w:space="0" w:color="auto"/>
            <w:left w:val="none" w:sz="0" w:space="0" w:color="auto"/>
            <w:bottom w:val="none" w:sz="0" w:space="0" w:color="auto"/>
            <w:right w:val="none" w:sz="0" w:space="0" w:color="auto"/>
          </w:divBdr>
        </w:div>
        <w:div w:id="1180659906">
          <w:marLeft w:val="0"/>
          <w:marRight w:val="0"/>
          <w:marTop w:val="0"/>
          <w:marBottom w:val="225"/>
          <w:divBdr>
            <w:top w:val="none" w:sz="0" w:space="0" w:color="auto"/>
            <w:left w:val="none" w:sz="0" w:space="0" w:color="auto"/>
            <w:bottom w:val="none" w:sz="0" w:space="0" w:color="auto"/>
            <w:right w:val="none" w:sz="0" w:space="0" w:color="auto"/>
          </w:divBdr>
        </w:div>
        <w:div w:id="1780829805">
          <w:marLeft w:val="0"/>
          <w:marRight w:val="0"/>
          <w:marTop w:val="0"/>
          <w:marBottom w:val="225"/>
          <w:divBdr>
            <w:top w:val="none" w:sz="0" w:space="0" w:color="auto"/>
            <w:left w:val="none" w:sz="0" w:space="0" w:color="auto"/>
            <w:bottom w:val="none" w:sz="0" w:space="0" w:color="auto"/>
            <w:right w:val="none" w:sz="0" w:space="0" w:color="auto"/>
          </w:divBdr>
        </w:div>
        <w:div w:id="1550068099">
          <w:marLeft w:val="0"/>
          <w:marRight w:val="0"/>
          <w:marTop w:val="0"/>
          <w:marBottom w:val="225"/>
          <w:divBdr>
            <w:top w:val="none" w:sz="0" w:space="0" w:color="auto"/>
            <w:left w:val="none" w:sz="0" w:space="0" w:color="auto"/>
            <w:bottom w:val="none" w:sz="0" w:space="0" w:color="auto"/>
            <w:right w:val="none" w:sz="0" w:space="0" w:color="auto"/>
          </w:divBdr>
        </w:div>
        <w:div w:id="649553790">
          <w:marLeft w:val="0"/>
          <w:marRight w:val="0"/>
          <w:marTop w:val="0"/>
          <w:marBottom w:val="225"/>
          <w:divBdr>
            <w:top w:val="none" w:sz="0" w:space="0" w:color="auto"/>
            <w:left w:val="none" w:sz="0" w:space="0" w:color="auto"/>
            <w:bottom w:val="none" w:sz="0" w:space="0" w:color="auto"/>
            <w:right w:val="none" w:sz="0" w:space="0" w:color="auto"/>
          </w:divBdr>
        </w:div>
        <w:div w:id="2135559120">
          <w:marLeft w:val="0"/>
          <w:marRight w:val="0"/>
          <w:marTop w:val="0"/>
          <w:marBottom w:val="225"/>
          <w:divBdr>
            <w:top w:val="none" w:sz="0" w:space="0" w:color="auto"/>
            <w:left w:val="none" w:sz="0" w:space="0" w:color="auto"/>
            <w:bottom w:val="none" w:sz="0" w:space="0" w:color="auto"/>
            <w:right w:val="none" w:sz="0" w:space="0" w:color="auto"/>
          </w:divBdr>
        </w:div>
        <w:div w:id="984436113">
          <w:marLeft w:val="0"/>
          <w:marRight w:val="0"/>
          <w:marTop w:val="0"/>
          <w:marBottom w:val="225"/>
          <w:divBdr>
            <w:top w:val="none" w:sz="0" w:space="0" w:color="auto"/>
            <w:left w:val="none" w:sz="0" w:space="0" w:color="auto"/>
            <w:bottom w:val="none" w:sz="0" w:space="0" w:color="auto"/>
            <w:right w:val="none" w:sz="0" w:space="0" w:color="auto"/>
          </w:divBdr>
        </w:div>
        <w:div w:id="1530025405">
          <w:marLeft w:val="0"/>
          <w:marRight w:val="0"/>
          <w:marTop w:val="0"/>
          <w:marBottom w:val="225"/>
          <w:divBdr>
            <w:top w:val="none" w:sz="0" w:space="0" w:color="auto"/>
            <w:left w:val="none" w:sz="0" w:space="0" w:color="auto"/>
            <w:bottom w:val="none" w:sz="0" w:space="0" w:color="auto"/>
            <w:right w:val="none" w:sz="0" w:space="0" w:color="auto"/>
          </w:divBdr>
        </w:div>
        <w:div w:id="1441295618">
          <w:marLeft w:val="0"/>
          <w:marRight w:val="0"/>
          <w:marTop w:val="0"/>
          <w:marBottom w:val="225"/>
          <w:divBdr>
            <w:top w:val="none" w:sz="0" w:space="0" w:color="auto"/>
            <w:left w:val="none" w:sz="0" w:space="0" w:color="auto"/>
            <w:bottom w:val="none" w:sz="0" w:space="0" w:color="auto"/>
            <w:right w:val="none" w:sz="0" w:space="0" w:color="auto"/>
          </w:divBdr>
        </w:div>
        <w:div w:id="57752167">
          <w:marLeft w:val="0"/>
          <w:marRight w:val="0"/>
          <w:marTop w:val="0"/>
          <w:marBottom w:val="225"/>
          <w:divBdr>
            <w:top w:val="none" w:sz="0" w:space="0" w:color="auto"/>
            <w:left w:val="none" w:sz="0" w:space="0" w:color="auto"/>
            <w:bottom w:val="none" w:sz="0" w:space="0" w:color="auto"/>
            <w:right w:val="none" w:sz="0" w:space="0" w:color="auto"/>
          </w:divBdr>
        </w:div>
        <w:div w:id="378553509">
          <w:marLeft w:val="0"/>
          <w:marRight w:val="0"/>
          <w:marTop w:val="0"/>
          <w:marBottom w:val="225"/>
          <w:divBdr>
            <w:top w:val="none" w:sz="0" w:space="0" w:color="auto"/>
            <w:left w:val="none" w:sz="0" w:space="0" w:color="auto"/>
            <w:bottom w:val="none" w:sz="0" w:space="0" w:color="auto"/>
            <w:right w:val="none" w:sz="0" w:space="0" w:color="auto"/>
          </w:divBdr>
        </w:div>
        <w:div w:id="83500372">
          <w:marLeft w:val="0"/>
          <w:marRight w:val="0"/>
          <w:marTop w:val="0"/>
          <w:marBottom w:val="225"/>
          <w:divBdr>
            <w:top w:val="none" w:sz="0" w:space="0" w:color="auto"/>
            <w:left w:val="none" w:sz="0" w:space="0" w:color="auto"/>
            <w:bottom w:val="none" w:sz="0" w:space="0" w:color="auto"/>
            <w:right w:val="none" w:sz="0" w:space="0" w:color="auto"/>
          </w:divBdr>
        </w:div>
        <w:div w:id="503593221">
          <w:marLeft w:val="0"/>
          <w:marRight w:val="0"/>
          <w:marTop w:val="0"/>
          <w:marBottom w:val="225"/>
          <w:divBdr>
            <w:top w:val="none" w:sz="0" w:space="0" w:color="auto"/>
            <w:left w:val="none" w:sz="0" w:space="0" w:color="auto"/>
            <w:bottom w:val="none" w:sz="0" w:space="0" w:color="auto"/>
            <w:right w:val="none" w:sz="0" w:space="0" w:color="auto"/>
          </w:divBdr>
        </w:div>
        <w:div w:id="50429305">
          <w:marLeft w:val="0"/>
          <w:marRight w:val="0"/>
          <w:marTop w:val="0"/>
          <w:marBottom w:val="225"/>
          <w:divBdr>
            <w:top w:val="none" w:sz="0" w:space="0" w:color="auto"/>
            <w:left w:val="none" w:sz="0" w:space="0" w:color="auto"/>
            <w:bottom w:val="none" w:sz="0" w:space="0" w:color="auto"/>
            <w:right w:val="none" w:sz="0" w:space="0" w:color="auto"/>
          </w:divBdr>
        </w:div>
        <w:div w:id="974261591">
          <w:marLeft w:val="0"/>
          <w:marRight w:val="0"/>
          <w:marTop w:val="0"/>
          <w:marBottom w:val="225"/>
          <w:divBdr>
            <w:top w:val="none" w:sz="0" w:space="0" w:color="auto"/>
            <w:left w:val="none" w:sz="0" w:space="0" w:color="auto"/>
            <w:bottom w:val="none" w:sz="0" w:space="0" w:color="auto"/>
            <w:right w:val="none" w:sz="0" w:space="0" w:color="auto"/>
          </w:divBdr>
        </w:div>
        <w:div w:id="1286691545">
          <w:marLeft w:val="0"/>
          <w:marRight w:val="0"/>
          <w:marTop w:val="0"/>
          <w:marBottom w:val="225"/>
          <w:divBdr>
            <w:top w:val="none" w:sz="0" w:space="0" w:color="auto"/>
            <w:left w:val="none" w:sz="0" w:space="0" w:color="auto"/>
            <w:bottom w:val="none" w:sz="0" w:space="0" w:color="auto"/>
            <w:right w:val="none" w:sz="0" w:space="0" w:color="auto"/>
          </w:divBdr>
        </w:div>
        <w:div w:id="1475682508">
          <w:marLeft w:val="0"/>
          <w:marRight w:val="0"/>
          <w:marTop w:val="0"/>
          <w:marBottom w:val="225"/>
          <w:divBdr>
            <w:top w:val="none" w:sz="0" w:space="0" w:color="auto"/>
            <w:left w:val="none" w:sz="0" w:space="0" w:color="auto"/>
            <w:bottom w:val="none" w:sz="0" w:space="0" w:color="auto"/>
            <w:right w:val="none" w:sz="0" w:space="0" w:color="auto"/>
          </w:divBdr>
        </w:div>
        <w:div w:id="1286305745">
          <w:marLeft w:val="0"/>
          <w:marRight w:val="0"/>
          <w:marTop w:val="0"/>
          <w:marBottom w:val="225"/>
          <w:divBdr>
            <w:top w:val="none" w:sz="0" w:space="0" w:color="auto"/>
            <w:left w:val="none" w:sz="0" w:space="0" w:color="auto"/>
            <w:bottom w:val="none" w:sz="0" w:space="0" w:color="auto"/>
            <w:right w:val="none" w:sz="0" w:space="0" w:color="auto"/>
          </w:divBdr>
        </w:div>
        <w:div w:id="667175635">
          <w:marLeft w:val="0"/>
          <w:marRight w:val="0"/>
          <w:marTop w:val="0"/>
          <w:marBottom w:val="225"/>
          <w:divBdr>
            <w:top w:val="none" w:sz="0" w:space="0" w:color="auto"/>
            <w:left w:val="none" w:sz="0" w:space="0" w:color="auto"/>
            <w:bottom w:val="none" w:sz="0" w:space="0" w:color="auto"/>
            <w:right w:val="none" w:sz="0" w:space="0" w:color="auto"/>
          </w:divBdr>
        </w:div>
        <w:div w:id="626856227">
          <w:marLeft w:val="0"/>
          <w:marRight w:val="0"/>
          <w:marTop w:val="0"/>
          <w:marBottom w:val="225"/>
          <w:divBdr>
            <w:top w:val="none" w:sz="0" w:space="0" w:color="auto"/>
            <w:left w:val="none" w:sz="0" w:space="0" w:color="auto"/>
            <w:bottom w:val="none" w:sz="0" w:space="0" w:color="auto"/>
            <w:right w:val="none" w:sz="0" w:space="0" w:color="auto"/>
          </w:divBdr>
        </w:div>
        <w:div w:id="44722551">
          <w:marLeft w:val="0"/>
          <w:marRight w:val="0"/>
          <w:marTop w:val="0"/>
          <w:marBottom w:val="225"/>
          <w:divBdr>
            <w:top w:val="none" w:sz="0" w:space="0" w:color="auto"/>
            <w:left w:val="none" w:sz="0" w:space="0" w:color="auto"/>
            <w:bottom w:val="none" w:sz="0" w:space="0" w:color="auto"/>
            <w:right w:val="none" w:sz="0" w:space="0" w:color="auto"/>
          </w:divBdr>
        </w:div>
        <w:div w:id="410856512">
          <w:marLeft w:val="0"/>
          <w:marRight w:val="0"/>
          <w:marTop w:val="0"/>
          <w:marBottom w:val="225"/>
          <w:divBdr>
            <w:top w:val="none" w:sz="0" w:space="0" w:color="auto"/>
            <w:left w:val="none" w:sz="0" w:space="0" w:color="auto"/>
            <w:bottom w:val="none" w:sz="0" w:space="0" w:color="auto"/>
            <w:right w:val="none" w:sz="0" w:space="0" w:color="auto"/>
          </w:divBdr>
        </w:div>
        <w:div w:id="419839174">
          <w:marLeft w:val="0"/>
          <w:marRight w:val="0"/>
          <w:marTop w:val="0"/>
          <w:marBottom w:val="225"/>
          <w:divBdr>
            <w:top w:val="none" w:sz="0" w:space="0" w:color="auto"/>
            <w:left w:val="none" w:sz="0" w:space="0" w:color="auto"/>
            <w:bottom w:val="none" w:sz="0" w:space="0" w:color="auto"/>
            <w:right w:val="none" w:sz="0" w:space="0" w:color="auto"/>
          </w:divBdr>
        </w:div>
        <w:div w:id="559874659">
          <w:marLeft w:val="0"/>
          <w:marRight w:val="0"/>
          <w:marTop w:val="0"/>
          <w:marBottom w:val="225"/>
          <w:divBdr>
            <w:top w:val="none" w:sz="0" w:space="0" w:color="auto"/>
            <w:left w:val="none" w:sz="0" w:space="0" w:color="auto"/>
            <w:bottom w:val="none" w:sz="0" w:space="0" w:color="auto"/>
            <w:right w:val="none" w:sz="0" w:space="0" w:color="auto"/>
          </w:divBdr>
        </w:div>
        <w:div w:id="550772369">
          <w:marLeft w:val="0"/>
          <w:marRight w:val="0"/>
          <w:marTop w:val="0"/>
          <w:marBottom w:val="225"/>
          <w:divBdr>
            <w:top w:val="none" w:sz="0" w:space="0" w:color="auto"/>
            <w:left w:val="none" w:sz="0" w:space="0" w:color="auto"/>
            <w:bottom w:val="none" w:sz="0" w:space="0" w:color="auto"/>
            <w:right w:val="none" w:sz="0" w:space="0" w:color="auto"/>
          </w:divBdr>
        </w:div>
        <w:div w:id="1089812792">
          <w:marLeft w:val="0"/>
          <w:marRight w:val="0"/>
          <w:marTop w:val="0"/>
          <w:marBottom w:val="225"/>
          <w:divBdr>
            <w:top w:val="none" w:sz="0" w:space="0" w:color="auto"/>
            <w:left w:val="none" w:sz="0" w:space="0" w:color="auto"/>
            <w:bottom w:val="none" w:sz="0" w:space="0" w:color="auto"/>
            <w:right w:val="none" w:sz="0" w:space="0" w:color="auto"/>
          </w:divBdr>
        </w:div>
        <w:div w:id="633289837">
          <w:marLeft w:val="0"/>
          <w:marRight w:val="0"/>
          <w:marTop w:val="0"/>
          <w:marBottom w:val="225"/>
          <w:divBdr>
            <w:top w:val="none" w:sz="0" w:space="0" w:color="auto"/>
            <w:left w:val="none" w:sz="0" w:space="0" w:color="auto"/>
            <w:bottom w:val="none" w:sz="0" w:space="0" w:color="auto"/>
            <w:right w:val="none" w:sz="0" w:space="0" w:color="auto"/>
          </w:divBdr>
        </w:div>
        <w:div w:id="989138352">
          <w:marLeft w:val="0"/>
          <w:marRight w:val="0"/>
          <w:marTop w:val="0"/>
          <w:marBottom w:val="225"/>
          <w:divBdr>
            <w:top w:val="none" w:sz="0" w:space="0" w:color="auto"/>
            <w:left w:val="none" w:sz="0" w:space="0" w:color="auto"/>
            <w:bottom w:val="none" w:sz="0" w:space="0" w:color="auto"/>
            <w:right w:val="none" w:sz="0" w:space="0" w:color="auto"/>
          </w:divBdr>
        </w:div>
        <w:div w:id="531647516">
          <w:marLeft w:val="0"/>
          <w:marRight w:val="0"/>
          <w:marTop w:val="0"/>
          <w:marBottom w:val="225"/>
          <w:divBdr>
            <w:top w:val="none" w:sz="0" w:space="0" w:color="auto"/>
            <w:left w:val="none" w:sz="0" w:space="0" w:color="auto"/>
            <w:bottom w:val="none" w:sz="0" w:space="0" w:color="auto"/>
            <w:right w:val="none" w:sz="0" w:space="0" w:color="auto"/>
          </w:divBdr>
        </w:div>
        <w:div w:id="1829783692">
          <w:marLeft w:val="0"/>
          <w:marRight w:val="0"/>
          <w:marTop w:val="0"/>
          <w:marBottom w:val="225"/>
          <w:divBdr>
            <w:top w:val="none" w:sz="0" w:space="0" w:color="auto"/>
            <w:left w:val="none" w:sz="0" w:space="0" w:color="auto"/>
            <w:bottom w:val="none" w:sz="0" w:space="0" w:color="auto"/>
            <w:right w:val="none" w:sz="0" w:space="0" w:color="auto"/>
          </w:divBdr>
        </w:div>
        <w:div w:id="867566361">
          <w:marLeft w:val="0"/>
          <w:marRight w:val="0"/>
          <w:marTop w:val="0"/>
          <w:marBottom w:val="225"/>
          <w:divBdr>
            <w:top w:val="none" w:sz="0" w:space="0" w:color="auto"/>
            <w:left w:val="none" w:sz="0" w:space="0" w:color="auto"/>
            <w:bottom w:val="none" w:sz="0" w:space="0" w:color="auto"/>
            <w:right w:val="none" w:sz="0" w:space="0" w:color="auto"/>
          </w:divBdr>
        </w:div>
        <w:div w:id="1560172015">
          <w:marLeft w:val="0"/>
          <w:marRight w:val="0"/>
          <w:marTop w:val="0"/>
          <w:marBottom w:val="225"/>
          <w:divBdr>
            <w:top w:val="none" w:sz="0" w:space="0" w:color="auto"/>
            <w:left w:val="none" w:sz="0" w:space="0" w:color="auto"/>
            <w:bottom w:val="none" w:sz="0" w:space="0" w:color="auto"/>
            <w:right w:val="none" w:sz="0" w:space="0" w:color="auto"/>
          </w:divBdr>
        </w:div>
        <w:div w:id="1468544994">
          <w:marLeft w:val="0"/>
          <w:marRight w:val="0"/>
          <w:marTop w:val="0"/>
          <w:marBottom w:val="225"/>
          <w:divBdr>
            <w:top w:val="none" w:sz="0" w:space="0" w:color="auto"/>
            <w:left w:val="none" w:sz="0" w:space="0" w:color="auto"/>
            <w:bottom w:val="none" w:sz="0" w:space="0" w:color="auto"/>
            <w:right w:val="none" w:sz="0" w:space="0" w:color="auto"/>
          </w:divBdr>
        </w:div>
        <w:div w:id="2118404160">
          <w:marLeft w:val="0"/>
          <w:marRight w:val="0"/>
          <w:marTop w:val="0"/>
          <w:marBottom w:val="225"/>
          <w:divBdr>
            <w:top w:val="none" w:sz="0" w:space="0" w:color="auto"/>
            <w:left w:val="none" w:sz="0" w:space="0" w:color="auto"/>
            <w:bottom w:val="none" w:sz="0" w:space="0" w:color="auto"/>
            <w:right w:val="none" w:sz="0" w:space="0" w:color="auto"/>
          </w:divBdr>
        </w:div>
        <w:div w:id="1472594741">
          <w:marLeft w:val="0"/>
          <w:marRight w:val="0"/>
          <w:marTop w:val="0"/>
          <w:marBottom w:val="225"/>
          <w:divBdr>
            <w:top w:val="none" w:sz="0" w:space="0" w:color="auto"/>
            <w:left w:val="none" w:sz="0" w:space="0" w:color="auto"/>
            <w:bottom w:val="none" w:sz="0" w:space="0" w:color="auto"/>
            <w:right w:val="none" w:sz="0" w:space="0" w:color="auto"/>
          </w:divBdr>
        </w:div>
        <w:div w:id="487333521">
          <w:marLeft w:val="0"/>
          <w:marRight w:val="0"/>
          <w:marTop w:val="0"/>
          <w:marBottom w:val="225"/>
          <w:divBdr>
            <w:top w:val="none" w:sz="0" w:space="0" w:color="auto"/>
            <w:left w:val="none" w:sz="0" w:space="0" w:color="auto"/>
            <w:bottom w:val="none" w:sz="0" w:space="0" w:color="auto"/>
            <w:right w:val="none" w:sz="0" w:space="0" w:color="auto"/>
          </w:divBdr>
        </w:div>
        <w:div w:id="571355031">
          <w:marLeft w:val="0"/>
          <w:marRight w:val="0"/>
          <w:marTop w:val="0"/>
          <w:marBottom w:val="225"/>
          <w:divBdr>
            <w:top w:val="none" w:sz="0" w:space="0" w:color="auto"/>
            <w:left w:val="none" w:sz="0" w:space="0" w:color="auto"/>
            <w:bottom w:val="none" w:sz="0" w:space="0" w:color="auto"/>
            <w:right w:val="none" w:sz="0" w:space="0" w:color="auto"/>
          </w:divBdr>
        </w:div>
        <w:div w:id="985284681">
          <w:marLeft w:val="0"/>
          <w:marRight w:val="0"/>
          <w:marTop w:val="0"/>
          <w:marBottom w:val="225"/>
          <w:divBdr>
            <w:top w:val="none" w:sz="0" w:space="0" w:color="auto"/>
            <w:left w:val="none" w:sz="0" w:space="0" w:color="auto"/>
            <w:bottom w:val="none" w:sz="0" w:space="0" w:color="auto"/>
            <w:right w:val="none" w:sz="0" w:space="0" w:color="auto"/>
          </w:divBdr>
        </w:div>
        <w:div w:id="1045987024">
          <w:marLeft w:val="0"/>
          <w:marRight w:val="0"/>
          <w:marTop w:val="0"/>
          <w:marBottom w:val="225"/>
          <w:divBdr>
            <w:top w:val="none" w:sz="0" w:space="0" w:color="auto"/>
            <w:left w:val="none" w:sz="0" w:space="0" w:color="auto"/>
            <w:bottom w:val="none" w:sz="0" w:space="0" w:color="auto"/>
            <w:right w:val="none" w:sz="0" w:space="0" w:color="auto"/>
          </w:divBdr>
        </w:div>
        <w:div w:id="467553963">
          <w:marLeft w:val="0"/>
          <w:marRight w:val="0"/>
          <w:marTop w:val="0"/>
          <w:marBottom w:val="225"/>
          <w:divBdr>
            <w:top w:val="none" w:sz="0" w:space="0" w:color="auto"/>
            <w:left w:val="none" w:sz="0" w:space="0" w:color="auto"/>
            <w:bottom w:val="none" w:sz="0" w:space="0" w:color="auto"/>
            <w:right w:val="none" w:sz="0" w:space="0" w:color="auto"/>
          </w:divBdr>
        </w:div>
        <w:div w:id="634215689">
          <w:marLeft w:val="0"/>
          <w:marRight w:val="0"/>
          <w:marTop w:val="0"/>
          <w:marBottom w:val="225"/>
          <w:divBdr>
            <w:top w:val="none" w:sz="0" w:space="0" w:color="auto"/>
            <w:left w:val="none" w:sz="0" w:space="0" w:color="auto"/>
            <w:bottom w:val="none" w:sz="0" w:space="0" w:color="auto"/>
            <w:right w:val="none" w:sz="0" w:space="0" w:color="auto"/>
          </w:divBdr>
        </w:div>
        <w:div w:id="1449469563">
          <w:marLeft w:val="0"/>
          <w:marRight w:val="0"/>
          <w:marTop w:val="0"/>
          <w:marBottom w:val="225"/>
          <w:divBdr>
            <w:top w:val="none" w:sz="0" w:space="0" w:color="auto"/>
            <w:left w:val="none" w:sz="0" w:space="0" w:color="auto"/>
            <w:bottom w:val="none" w:sz="0" w:space="0" w:color="auto"/>
            <w:right w:val="none" w:sz="0" w:space="0" w:color="auto"/>
          </w:divBdr>
        </w:div>
        <w:div w:id="1086531657">
          <w:marLeft w:val="0"/>
          <w:marRight w:val="0"/>
          <w:marTop w:val="0"/>
          <w:marBottom w:val="225"/>
          <w:divBdr>
            <w:top w:val="none" w:sz="0" w:space="0" w:color="auto"/>
            <w:left w:val="none" w:sz="0" w:space="0" w:color="auto"/>
            <w:bottom w:val="none" w:sz="0" w:space="0" w:color="auto"/>
            <w:right w:val="none" w:sz="0" w:space="0" w:color="auto"/>
          </w:divBdr>
        </w:div>
        <w:div w:id="263156336">
          <w:marLeft w:val="0"/>
          <w:marRight w:val="0"/>
          <w:marTop w:val="0"/>
          <w:marBottom w:val="225"/>
          <w:divBdr>
            <w:top w:val="none" w:sz="0" w:space="0" w:color="auto"/>
            <w:left w:val="none" w:sz="0" w:space="0" w:color="auto"/>
            <w:bottom w:val="none" w:sz="0" w:space="0" w:color="auto"/>
            <w:right w:val="none" w:sz="0" w:space="0" w:color="auto"/>
          </w:divBdr>
        </w:div>
        <w:div w:id="1578979808">
          <w:marLeft w:val="0"/>
          <w:marRight w:val="0"/>
          <w:marTop w:val="0"/>
          <w:marBottom w:val="225"/>
          <w:divBdr>
            <w:top w:val="none" w:sz="0" w:space="0" w:color="auto"/>
            <w:left w:val="none" w:sz="0" w:space="0" w:color="auto"/>
            <w:bottom w:val="none" w:sz="0" w:space="0" w:color="auto"/>
            <w:right w:val="none" w:sz="0" w:space="0" w:color="auto"/>
          </w:divBdr>
        </w:div>
        <w:div w:id="319501272">
          <w:marLeft w:val="0"/>
          <w:marRight w:val="0"/>
          <w:marTop w:val="0"/>
          <w:marBottom w:val="225"/>
          <w:divBdr>
            <w:top w:val="none" w:sz="0" w:space="0" w:color="auto"/>
            <w:left w:val="none" w:sz="0" w:space="0" w:color="auto"/>
            <w:bottom w:val="none" w:sz="0" w:space="0" w:color="auto"/>
            <w:right w:val="none" w:sz="0" w:space="0" w:color="auto"/>
          </w:divBdr>
        </w:div>
        <w:div w:id="2145467936">
          <w:marLeft w:val="0"/>
          <w:marRight w:val="0"/>
          <w:marTop w:val="0"/>
          <w:marBottom w:val="225"/>
          <w:divBdr>
            <w:top w:val="none" w:sz="0" w:space="0" w:color="auto"/>
            <w:left w:val="none" w:sz="0" w:space="0" w:color="auto"/>
            <w:bottom w:val="none" w:sz="0" w:space="0" w:color="auto"/>
            <w:right w:val="none" w:sz="0" w:space="0" w:color="auto"/>
          </w:divBdr>
        </w:div>
        <w:div w:id="1692340979">
          <w:marLeft w:val="0"/>
          <w:marRight w:val="0"/>
          <w:marTop w:val="0"/>
          <w:marBottom w:val="225"/>
          <w:divBdr>
            <w:top w:val="none" w:sz="0" w:space="0" w:color="auto"/>
            <w:left w:val="none" w:sz="0" w:space="0" w:color="auto"/>
            <w:bottom w:val="none" w:sz="0" w:space="0" w:color="auto"/>
            <w:right w:val="none" w:sz="0" w:space="0" w:color="auto"/>
          </w:divBdr>
        </w:div>
        <w:div w:id="2142110223">
          <w:marLeft w:val="0"/>
          <w:marRight w:val="0"/>
          <w:marTop w:val="0"/>
          <w:marBottom w:val="225"/>
          <w:divBdr>
            <w:top w:val="none" w:sz="0" w:space="0" w:color="auto"/>
            <w:left w:val="none" w:sz="0" w:space="0" w:color="auto"/>
            <w:bottom w:val="none" w:sz="0" w:space="0" w:color="auto"/>
            <w:right w:val="none" w:sz="0" w:space="0" w:color="auto"/>
          </w:divBdr>
        </w:div>
        <w:div w:id="25182657">
          <w:marLeft w:val="0"/>
          <w:marRight w:val="0"/>
          <w:marTop w:val="0"/>
          <w:marBottom w:val="225"/>
          <w:divBdr>
            <w:top w:val="none" w:sz="0" w:space="0" w:color="auto"/>
            <w:left w:val="none" w:sz="0" w:space="0" w:color="auto"/>
            <w:bottom w:val="none" w:sz="0" w:space="0" w:color="auto"/>
            <w:right w:val="none" w:sz="0" w:space="0" w:color="auto"/>
          </w:divBdr>
        </w:div>
        <w:div w:id="690494511">
          <w:marLeft w:val="0"/>
          <w:marRight w:val="0"/>
          <w:marTop w:val="0"/>
          <w:marBottom w:val="225"/>
          <w:divBdr>
            <w:top w:val="none" w:sz="0" w:space="0" w:color="auto"/>
            <w:left w:val="none" w:sz="0" w:space="0" w:color="auto"/>
            <w:bottom w:val="none" w:sz="0" w:space="0" w:color="auto"/>
            <w:right w:val="none" w:sz="0" w:space="0" w:color="auto"/>
          </w:divBdr>
        </w:div>
        <w:div w:id="1448305741">
          <w:marLeft w:val="0"/>
          <w:marRight w:val="0"/>
          <w:marTop w:val="0"/>
          <w:marBottom w:val="225"/>
          <w:divBdr>
            <w:top w:val="none" w:sz="0" w:space="0" w:color="auto"/>
            <w:left w:val="none" w:sz="0" w:space="0" w:color="auto"/>
            <w:bottom w:val="none" w:sz="0" w:space="0" w:color="auto"/>
            <w:right w:val="none" w:sz="0" w:space="0" w:color="auto"/>
          </w:divBdr>
        </w:div>
        <w:div w:id="19974126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chen</dc:creator>
  <cp:keywords/>
  <dc:description/>
  <cp:lastModifiedBy>lili chen</cp:lastModifiedBy>
  <cp:revision>2</cp:revision>
  <dcterms:created xsi:type="dcterms:W3CDTF">2024-06-17T06:53:00Z</dcterms:created>
  <dcterms:modified xsi:type="dcterms:W3CDTF">2024-06-17T06:55:00Z</dcterms:modified>
</cp:coreProperties>
</file>